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C07EBA" w14:textId="77777777" w:rsidR="00EC78FA" w:rsidRDefault="00EC78FA" w:rsidP="00EC78FA">
      <w:pPr>
        <w:spacing w:after="0" w:line="480" w:lineRule="auto"/>
        <w:rPr>
          <w:rFonts w:ascii="Times New Roman" w:hAnsi="Times New Roman" w:cs="Times New Roman"/>
          <w:b/>
          <w:bCs/>
          <w:sz w:val="24"/>
          <w:szCs w:val="24"/>
        </w:rPr>
      </w:pPr>
      <w:bookmarkStart w:id="0" w:name="_GoBack"/>
      <w:bookmarkEnd w:id="0"/>
    </w:p>
    <w:p w14:paraId="0D47CAAF" w14:textId="77777777" w:rsidR="00EC78FA" w:rsidRDefault="00EC78FA" w:rsidP="00EC78FA">
      <w:pPr>
        <w:spacing w:after="0" w:line="480" w:lineRule="auto"/>
        <w:rPr>
          <w:rFonts w:ascii="Times New Roman" w:hAnsi="Times New Roman" w:cs="Times New Roman"/>
          <w:b/>
          <w:bCs/>
          <w:sz w:val="24"/>
          <w:szCs w:val="24"/>
        </w:rPr>
      </w:pPr>
    </w:p>
    <w:p w14:paraId="65981818" w14:textId="77777777" w:rsidR="00EC78FA" w:rsidRDefault="00EC78FA" w:rsidP="00EC78FA">
      <w:pPr>
        <w:spacing w:after="0" w:line="480" w:lineRule="auto"/>
        <w:rPr>
          <w:rFonts w:ascii="Times New Roman" w:hAnsi="Times New Roman" w:cs="Times New Roman"/>
          <w:b/>
          <w:bCs/>
          <w:sz w:val="24"/>
          <w:szCs w:val="24"/>
        </w:rPr>
      </w:pPr>
    </w:p>
    <w:p w14:paraId="5CDEBFEC" w14:textId="77777777" w:rsidR="00EC78FA" w:rsidRDefault="00EC78FA" w:rsidP="00EC78FA">
      <w:pPr>
        <w:spacing w:after="0" w:line="480" w:lineRule="auto"/>
        <w:rPr>
          <w:rFonts w:ascii="Times New Roman" w:hAnsi="Times New Roman" w:cs="Times New Roman"/>
          <w:b/>
          <w:bCs/>
          <w:sz w:val="24"/>
          <w:szCs w:val="24"/>
        </w:rPr>
      </w:pPr>
    </w:p>
    <w:p w14:paraId="051EEF67" w14:textId="77777777" w:rsidR="00EC78FA" w:rsidRDefault="00EC78FA" w:rsidP="00EC78FA">
      <w:pPr>
        <w:spacing w:after="0" w:line="480" w:lineRule="auto"/>
        <w:rPr>
          <w:rFonts w:ascii="Times New Roman" w:hAnsi="Times New Roman" w:cs="Times New Roman"/>
          <w:b/>
          <w:bCs/>
          <w:sz w:val="24"/>
          <w:szCs w:val="24"/>
        </w:rPr>
      </w:pPr>
    </w:p>
    <w:p w14:paraId="4E3023DD" w14:textId="77777777" w:rsidR="00EC78FA" w:rsidRDefault="00EC78FA" w:rsidP="00EC78FA">
      <w:pPr>
        <w:spacing w:after="0" w:line="480" w:lineRule="auto"/>
        <w:rPr>
          <w:rFonts w:ascii="Times New Roman" w:hAnsi="Times New Roman" w:cs="Times New Roman"/>
          <w:b/>
          <w:bCs/>
          <w:sz w:val="24"/>
          <w:szCs w:val="24"/>
        </w:rPr>
      </w:pPr>
    </w:p>
    <w:p w14:paraId="5825F112" w14:textId="77777777" w:rsidR="00EC78FA" w:rsidRDefault="00EC78FA" w:rsidP="00EC78FA">
      <w:pPr>
        <w:spacing w:after="0" w:line="480" w:lineRule="auto"/>
        <w:rPr>
          <w:rFonts w:ascii="Times New Roman" w:hAnsi="Times New Roman" w:cs="Times New Roman"/>
          <w:b/>
          <w:bCs/>
          <w:sz w:val="24"/>
          <w:szCs w:val="24"/>
        </w:rPr>
      </w:pPr>
    </w:p>
    <w:p w14:paraId="49E3C602" w14:textId="77777777" w:rsidR="00EC78FA" w:rsidRDefault="00EC78FA" w:rsidP="00EC78FA">
      <w:pPr>
        <w:spacing w:after="0" w:line="480" w:lineRule="auto"/>
        <w:rPr>
          <w:rFonts w:ascii="Times New Roman" w:hAnsi="Times New Roman" w:cs="Times New Roman"/>
          <w:b/>
          <w:bCs/>
          <w:sz w:val="24"/>
          <w:szCs w:val="24"/>
        </w:rPr>
      </w:pPr>
    </w:p>
    <w:p w14:paraId="4AA00431" w14:textId="77777777" w:rsidR="00EC78FA" w:rsidRDefault="00EC78FA" w:rsidP="00EC78FA">
      <w:pPr>
        <w:spacing w:after="0" w:line="480" w:lineRule="auto"/>
        <w:rPr>
          <w:rFonts w:ascii="Times New Roman" w:hAnsi="Times New Roman" w:cs="Times New Roman"/>
          <w:b/>
          <w:bCs/>
          <w:sz w:val="24"/>
          <w:szCs w:val="24"/>
        </w:rPr>
      </w:pPr>
    </w:p>
    <w:p w14:paraId="638A84E9" w14:textId="77777777" w:rsidR="00EC78FA" w:rsidRPr="00EC78FA" w:rsidRDefault="00EC78FA" w:rsidP="00EC78FA">
      <w:pPr>
        <w:spacing w:after="0" w:line="480" w:lineRule="auto"/>
        <w:jc w:val="center"/>
        <w:rPr>
          <w:rFonts w:ascii="Times New Roman" w:hAnsi="Times New Roman" w:cs="Times New Roman"/>
          <w:b/>
          <w:bCs/>
          <w:sz w:val="24"/>
          <w:szCs w:val="24"/>
        </w:rPr>
      </w:pPr>
      <w:r w:rsidRPr="00EC78FA">
        <w:rPr>
          <w:rFonts w:ascii="Times New Roman" w:hAnsi="Times New Roman" w:cs="Times New Roman"/>
          <w:b/>
          <w:bCs/>
          <w:sz w:val="24"/>
          <w:szCs w:val="24"/>
        </w:rPr>
        <w:t>Modes of Health Care Financing</w:t>
      </w:r>
    </w:p>
    <w:p w14:paraId="26B75D7E" w14:textId="684758FB" w:rsidR="00EC78FA" w:rsidRDefault="00EC78FA" w:rsidP="00EC78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A728EE4" w14:textId="142D916B" w:rsidR="00EC78FA" w:rsidRDefault="00EC78FA" w:rsidP="00EC78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F751E54" w14:textId="33306F7E" w:rsidR="00EC78FA" w:rsidRDefault="00EC78FA" w:rsidP="00EC78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51E0D9F9" w14:textId="64320266" w:rsidR="00EC78FA" w:rsidRDefault="00EC78FA" w:rsidP="00EC78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6BFC0445" w14:textId="6D92E3C9" w:rsidR="00EC78FA" w:rsidRDefault="00EC78FA" w:rsidP="00EC78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2188A99" w14:textId="2289E5AD" w:rsidR="00EC78FA" w:rsidRDefault="00EC78FA" w:rsidP="00EC78FA">
      <w:pPr>
        <w:spacing w:after="0" w:line="480" w:lineRule="auto"/>
        <w:rPr>
          <w:rFonts w:ascii="Times New Roman" w:hAnsi="Times New Roman" w:cs="Times New Roman"/>
          <w:sz w:val="24"/>
          <w:szCs w:val="24"/>
        </w:rPr>
      </w:pPr>
    </w:p>
    <w:p w14:paraId="1F3CEC60" w14:textId="7F44E022" w:rsidR="00EC78FA" w:rsidRDefault="00EC78FA" w:rsidP="00EC78FA">
      <w:pPr>
        <w:spacing w:after="0" w:line="480" w:lineRule="auto"/>
        <w:rPr>
          <w:rFonts w:ascii="Times New Roman" w:hAnsi="Times New Roman" w:cs="Times New Roman"/>
          <w:sz w:val="24"/>
          <w:szCs w:val="24"/>
        </w:rPr>
      </w:pPr>
    </w:p>
    <w:p w14:paraId="10578093" w14:textId="07EC4393" w:rsidR="00EC78FA" w:rsidRDefault="00EC78FA" w:rsidP="00EC78FA">
      <w:pPr>
        <w:spacing w:after="0" w:line="480" w:lineRule="auto"/>
        <w:rPr>
          <w:rFonts w:ascii="Times New Roman" w:hAnsi="Times New Roman" w:cs="Times New Roman"/>
          <w:sz w:val="24"/>
          <w:szCs w:val="24"/>
        </w:rPr>
      </w:pPr>
    </w:p>
    <w:p w14:paraId="0DE90C69" w14:textId="408DDFDA" w:rsidR="00EC78FA" w:rsidRDefault="00EC78FA" w:rsidP="00EC78FA">
      <w:pPr>
        <w:spacing w:after="0" w:line="480" w:lineRule="auto"/>
        <w:rPr>
          <w:rFonts w:ascii="Times New Roman" w:hAnsi="Times New Roman" w:cs="Times New Roman"/>
          <w:sz w:val="24"/>
          <w:szCs w:val="24"/>
        </w:rPr>
      </w:pPr>
    </w:p>
    <w:p w14:paraId="1DD18185" w14:textId="09627E32" w:rsidR="00EC78FA" w:rsidRDefault="00EC78FA" w:rsidP="00EC78FA">
      <w:pPr>
        <w:spacing w:after="0" w:line="480" w:lineRule="auto"/>
        <w:rPr>
          <w:rFonts w:ascii="Times New Roman" w:hAnsi="Times New Roman" w:cs="Times New Roman"/>
          <w:sz w:val="24"/>
          <w:szCs w:val="24"/>
        </w:rPr>
      </w:pPr>
    </w:p>
    <w:p w14:paraId="22900474" w14:textId="0A07AA24" w:rsidR="00EC78FA" w:rsidRDefault="00EC78FA" w:rsidP="00EC78FA">
      <w:pPr>
        <w:spacing w:after="0" w:line="480" w:lineRule="auto"/>
        <w:rPr>
          <w:rFonts w:ascii="Times New Roman" w:hAnsi="Times New Roman" w:cs="Times New Roman"/>
          <w:sz w:val="24"/>
          <w:szCs w:val="24"/>
        </w:rPr>
      </w:pPr>
    </w:p>
    <w:p w14:paraId="6316CBF1" w14:textId="7C9AC479" w:rsidR="00EC78FA" w:rsidRDefault="00EC78FA" w:rsidP="00EC78FA">
      <w:pPr>
        <w:spacing w:after="0" w:line="480" w:lineRule="auto"/>
        <w:rPr>
          <w:rFonts w:ascii="Times New Roman" w:hAnsi="Times New Roman" w:cs="Times New Roman"/>
          <w:sz w:val="24"/>
          <w:szCs w:val="24"/>
        </w:rPr>
      </w:pPr>
    </w:p>
    <w:p w14:paraId="587053B0" w14:textId="77777777" w:rsidR="00EC78FA" w:rsidRPr="00EC78FA" w:rsidRDefault="00EC78FA" w:rsidP="00EC78FA">
      <w:pPr>
        <w:spacing w:after="0" w:line="480" w:lineRule="auto"/>
        <w:rPr>
          <w:rFonts w:ascii="Times New Roman" w:hAnsi="Times New Roman" w:cs="Times New Roman"/>
          <w:sz w:val="24"/>
          <w:szCs w:val="24"/>
        </w:rPr>
      </w:pPr>
    </w:p>
    <w:p w14:paraId="65FEB5D1" w14:textId="77CDA171" w:rsidR="00EC78FA" w:rsidRPr="00EC78FA" w:rsidRDefault="00EC78FA" w:rsidP="00EC78FA">
      <w:pPr>
        <w:spacing w:after="0" w:line="480" w:lineRule="auto"/>
        <w:jc w:val="center"/>
        <w:rPr>
          <w:rFonts w:ascii="Times New Roman" w:hAnsi="Times New Roman" w:cs="Times New Roman"/>
          <w:b/>
          <w:bCs/>
          <w:sz w:val="24"/>
          <w:szCs w:val="24"/>
        </w:rPr>
      </w:pPr>
      <w:r w:rsidRPr="00EC78FA">
        <w:rPr>
          <w:rFonts w:ascii="Times New Roman" w:hAnsi="Times New Roman" w:cs="Times New Roman"/>
          <w:b/>
          <w:bCs/>
          <w:sz w:val="24"/>
          <w:szCs w:val="24"/>
        </w:rPr>
        <w:lastRenderedPageBreak/>
        <w:t>Modes of Health Care Financing</w:t>
      </w:r>
    </w:p>
    <w:p w14:paraId="7791F36E" w14:textId="77777777" w:rsidR="00EC78FA" w:rsidRPr="00EC78FA" w:rsidRDefault="00EC78FA" w:rsidP="00EC78FA">
      <w:pPr>
        <w:spacing w:after="0" w:line="480" w:lineRule="auto"/>
        <w:ind w:firstLine="720"/>
        <w:rPr>
          <w:rFonts w:ascii="Times New Roman" w:hAnsi="Times New Roman" w:cs="Times New Roman"/>
          <w:sz w:val="24"/>
          <w:szCs w:val="24"/>
        </w:rPr>
      </w:pPr>
      <w:r w:rsidRPr="00EC78FA">
        <w:rPr>
          <w:rFonts w:ascii="Times New Roman" w:hAnsi="Times New Roman" w:cs="Times New Roman"/>
          <w:sz w:val="24"/>
          <w:szCs w:val="24"/>
        </w:rPr>
        <w:t>Health care in the United States and many countries are not free. Someone must pay for the health care services that patients seek at the health care facilities and institutions. Health care in the United States has evolved over the years through different social interventions and programs that seek to improve access and quality of the care patients get. Here are the four main modes of health care financing:</w:t>
      </w:r>
    </w:p>
    <w:p w14:paraId="3534C15E" w14:textId="77777777" w:rsidR="00EC78FA" w:rsidRPr="00EC78FA" w:rsidRDefault="00EC78FA" w:rsidP="00EC78FA">
      <w:pPr>
        <w:spacing w:after="0" w:line="480" w:lineRule="auto"/>
        <w:rPr>
          <w:rFonts w:ascii="Times New Roman" w:hAnsi="Times New Roman" w:cs="Times New Roman"/>
          <w:b/>
          <w:bCs/>
          <w:sz w:val="24"/>
          <w:szCs w:val="24"/>
        </w:rPr>
      </w:pPr>
      <w:r w:rsidRPr="00EC78FA">
        <w:rPr>
          <w:rFonts w:ascii="Times New Roman" w:hAnsi="Times New Roman" w:cs="Times New Roman"/>
          <w:b/>
          <w:bCs/>
          <w:sz w:val="24"/>
          <w:szCs w:val="24"/>
        </w:rPr>
        <w:t>Out-of-Pocket Payment</w:t>
      </w:r>
    </w:p>
    <w:p w14:paraId="43EAF71C" w14:textId="77777777" w:rsidR="00EC78FA" w:rsidRPr="00EC78FA" w:rsidRDefault="00EC78FA" w:rsidP="00EC78FA">
      <w:pPr>
        <w:spacing w:after="0" w:line="480" w:lineRule="auto"/>
        <w:ind w:firstLine="720"/>
        <w:rPr>
          <w:rFonts w:ascii="Times New Roman" w:hAnsi="Times New Roman" w:cs="Times New Roman"/>
          <w:sz w:val="24"/>
          <w:szCs w:val="24"/>
        </w:rPr>
      </w:pPr>
      <w:r w:rsidRPr="00EC78FA">
        <w:rPr>
          <w:rFonts w:ascii="Times New Roman" w:hAnsi="Times New Roman" w:cs="Times New Roman"/>
          <w:sz w:val="24"/>
          <w:szCs w:val="24"/>
        </w:rPr>
        <w:t>This mode of payment, as Shreck (2020) explains, involves the patient paying for the medical services received at the hospital with his or her money. For example, in this mode, the patient caters for everything that is involved in the treatment from consultation to medication. For instance, if a patient is cut and is taken to the hospital with an ambulance, the cost he will pay caters to everything involved in the process from the moment he was picked. Mostly, uninsured people use this mode (Grumbach &amp; Bodenheimer, 2009).</w:t>
      </w:r>
    </w:p>
    <w:p w14:paraId="2816BD59" w14:textId="7AB5F9E6" w:rsidR="00EC78FA" w:rsidRPr="00EC78FA" w:rsidRDefault="00EC78FA" w:rsidP="00EC78FA">
      <w:pPr>
        <w:spacing w:after="0" w:line="480" w:lineRule="auto"/>
        <w:rPr>
          <w:rFonts w:ascii="Times New Roman" w:hAnsi="Times New Roman" w:cs="Times New Roman"/>
          <w:b/>
          <w:bCs/>
          <w:sz w:val="24"/>
          <w:szCs w:val="24"/>
        </w:rPr>
      </w:pPr>
      <w:r w:rsidRPr="00EC78FA">
        <w:rPr>
          <w:rFonts w:ascii="Times New Roman" w:hAnsi="Times New Roman" w:cs="Times New Roman"/>
          <w:b/>
          <w:bCs/>
          <w:sz w:val="24"/>
          <w:szCs w:val="24"/>
        </w:rPr>
        <w:t>Individual Private Insurance</w:t>
      </w:r>
    </w:p>
    <w:p w14:paraId="0B6AC073" w14:textId="77777777" w:rsidR="00EC78FA" w:rsidRPr="00EC78FA" w:rsidRDefault="00EC78FA" w:rsidP="00EC78FA">
      <w:pPr>
        <w:spacing w:after="0" w:line="480" w:lineRule="auto"/>
        <w:ind w:firstLine="720"/>
        <w:rPr>
          <w:rFonts w:ascii="Times New Roman" w:hAnsi="Times New Roman" w:cs="Times New Roman"/>
          <w:sz w:val="24"/>
          <w:szCs w:val="24"/>
        </w:rPr>
      </w:pPr>
      <w:r w:rsidRPr="00EC78FA">
        <w:rPr>
          <w:rFonts w:ascii="Times New Roman" w:hAnsi="Times New Roman" w:cs="Times New Roman"/>
          <w:sz w:val="24"/>
          <w:szCs w:val="24"/>
        </w:rPr>
        <w:t>Individual private insurance is when an individual decides to purchase insurance either from a profit or not-for-profit company. Unlike the insurance purchased by the company for the employees, individual private insurance requires that the individual caters for the entire cost. Even though the insurance can be provided by the same providers that provide corporate-based insurance such as CHIP.</w:t>
      </w:r>
    </w:p>
    <w:p w14:paraId="1965A956" w14:textId="77777777" w:rsidR="00EC78FA" w:rsidRPr="00EC78FA" w:rsidRDefault="00EC78FA" w:rsidP="00EC78FA">
      <w:pPr>
        <w:spacing w:after="0" w:line="480" w:lineRule="auto"/>
        <w:rPr>
          <w:rFonts w:ascii="Times New Roman" w:hAnsi="Times New Roman" w:cs="Times New Roman"/>
          <w:b/>
          <w:bCs/>
          <w:sz w:val="24"/>
          <w:szCs w:val="24"/>
        </w:rPr>
      </w:pPr>
      <w:r w:rsidRPr="00EC78FA">
        <w:rPr>
          <w:rFonts w:ascii="Times New Roman" w:hAnsi="Times New Roman" w:cs="Times New Roman"/>
          <w:b/>
          <w:bCs/>
          <w:sz w:val="24"/>
          <w:szCs w:val="24"/>
        </w:rPr>
        <w:t>Employment-based Group Private Insurance</w:t>
      </w:r>
    </w:p>
    <w:p w14:paraId="6C1E0C80" w14:textId="77777777" w:rsidR="00EC78FA" w:rsidRPr="00EC78FA" w:rsidRDefault="00EC78FA" w:rsidP="00EC78FA">
      <w:pPr>
        <w:spacing w:after="0" w:line="480" w:lineRule="auto"/>
        <w:ind w:firstLine="720"/>
        <w:rPr>
          <w:rFonts w:ascii="Times New Roman" w:hAnsi="Times New Roman" w:cs="Times New Roman"/>
          <w:sz w:val="24"/>
          <w:szCs w:val="24"/>
        </w:rPr>
      </w:pPr>
      <w:r w:rsidRPr="00EC78FA">
        <w:rPr>
          <w:rFonts w:ascii="Times New Roman" w:hAnsi="Times New Roman" w:cs="Times New Roman"/>
          <w:sz w:val="24"/>
          <w:szCs w:val="24"/>
        </w:rPr>
        <w:t xml:space="preserve">Employment-based group private insurance is another mode of health care financing that involves the companies purchasing private insurance for their employees. The insurance cost in </w:t>
      </w:r>
      <w:r w:rsidRPr="00EC78FA">
        <w:rPr>
          <w:rFonts w:ascii="Times New Roman" w:hAnsi="Times New Roman" w:cs="Times New Roman"/>
          <w:sz w:val="24"/>
          <w:szCs w:val="24"/>
        </w:rPr>
        <w:lastRenderedPageBreak/>
        <w:t>this case is shared by employers and employees (Shreck, 2020). Examples of this kind of insurance include the Patient Protection and Affordable Care Act or Affordable Care Act (ACA).</w:t>
      </w:r>
    </w:p>
    <w:p w14:paraId="57D2768C" w14:textId="77777777" w:rsidR="00EC78FA" w:rsidRPr="00EC78FA" w:rsidRDefault="00EC78FA" w:rsidP="00EC78FA">
      <w:pPr>
        <w:spacing w:after="0" w:line="480" w:lineRule="auto"/>
        <w:rPr>
          <w:rFonts w:ascii="Times New Roman" w:hAnsi="Times New Roman" w:cs="Times New Roman"/>
          <w:b/>
          <w:bCs/>
          <w:sz w:val="24"/>
          <w:szCs w:val="24"/>
        </w:rPr>
      </w:pPr>
      <w:r w:rsidRPr="00EC78FA">
        <w:rPr>
          <w:rFonts w:ascii="Times New Roman" w:hAnsi="Times New Roman" w:cs="Times New Roman"/>
          <w:b/>
          <w:bCs/>
          <w:sz w:val="24"/>
          <w:szCs w:val="24"/>
        </w:rPr>
        <w:t>Government Financing</w:t>
      </w:r>
    </w:p>
    <w:p w14:paraId="28F241E7" w14:textId="71F75551" w:rsidR="00ED6955" w:rsidRPr="00EC78FA" w:rsidRDefault="00EC78FA" w:rsidP="00EC78FA">
      <w:pPr>
        <w:spacing w:after="0" w:line="480" w:lineRule="auto"/>
        <w:ind w:firstLine="720"/>
        <w:rPr>
          <w:rFonts w:ascii="Times New Roman" w:hAnsi="Times New Roman" w:cs="Times New Roman"/>
          <w:sz w:val="24"/>
          <w:szCs w:val="24"/>
        </w:rPr>
      </w:pPr>
      <w:r w:rsidRPr="00EC78FA">
        <w:rPr>
          <w:rFonts w:ascii="Times New Roman" w:hAnsi="Times New Roman" w:cs="Times New Roman"/>
          <w:sz w:val="24"/>
          <w:szCs w:val="24"/>
        </w:rPr>
        <w:t>Government financing is among the largest insurance programs in the United States. The government caters for the whole cost associated with this type of insurance that targets the vulnerable in the society such as the elderly, special groups, poor, and children. Examples of this financing include Medicare which funds health care for the elderly, persons with disabilities, and people receiving long-term treatments (Shreck, 2020). Other examples include Medicaid (people living below the poverty level), Children and Youth with Special Health Care Needs, Tricare (targeting those in active duty and retired from the military), and Veterans Health Administration, which provides comprehensive health care services to eligible military veterans (Shreck, 2020).</w:t>
      </w:r>
    </w:p>
    <w:p w14:paraId="3891050A" w14:textId="2E7B3590" w:rsidR="00EC78FA" w:rsidRPr="00EC78FA" w:rsidRDefault="00EC78FA" w:rsidP="00EC78FA">
      <w:pPr>
        <w:spacing w:after="0" w:line="480" w:lineRule="auto"/>
        <w:ind w:firstLine="720"/>
        <w:rPr>
          <w:rFonts w:ascii="Times New Roman" w:hAnsi="Times New Roman" w:cs="Times New Roman"/>
          <w:sz w:val="24"/>
          <w:szCs w:val="24"/>
        </w:rPr>
      </w:pPr>
    </w:p>
    <w:p w14:paraId="7DF0356E" w14:textId="77777777" w:rsidR="00EC78FA" w:rsidRDefault="00EC78FA" w:rsidP="00EC78FA">
      <w:pPr>
        <w:spacing w:after="0" w:line="480" w:lineRule="auto"/>
        <w:rPr>
          <w:rFonts w:ascii="Times New Roman" w:hAnsi="Times New Roman" w:cs="Times New Roman"/>
          <w:sz w:val="24"/>
          <w:szCs w:val="24"/>
        </w:rPr>
      </w:pPr>
    </w:p>
    <w:p w14:paraId="17B2742E" w14:textId="77777777" w:rsidR="00EC78FA" w:rsidRDefault="00EC78FA" w:rsidP="00EC78FA">
      <w:pPr>
        <w:spacing w:after="0" w:line="480" w:lineRule="auto"/>
        <w:rPr>
          <w:rFonts w:ascii="Times New Roman" w:hAnsi="Times New Roman" w:cs="Times New Roman"/>
          <w:sz w:val="24"/>
          <w:szCs w:val="24"/>
        </w:rPr>
      </w:pPr>
    </w:p>
    <w:p w14:paraId="40DC821A" w14:textId="77777777" w:rsidR="00EC78FA" w:rsidRDefault="00EC78FA" w:rsidP="00EC78FA">
      <w:pPr>
        <w:spacing w:after="0" w:line="480" w:lineRule="auto"/>
        <w:rPr>
          <w:rFonts w:ascii="Times New Roman" w:hAnsi="Times New Roman" w:cs="Times New Roman"/>
          <w:sz w:val="24"/>
          <w:szCs w:val="24"/>
        </w:rPr>
      </w:pPr>
    </w:p>
    <w:p w14:paraId="26101B42" w14:textId="77777777" w:rsidR="00EC78FA" w:rsidRDefault="00EC78FA" w:rsidP="00EC78FA">
      <w:pPr>
        <w:spacing w:after="0" w:line="480" w:lineRule="auto"/>
        <w:rPr>
          <w:rFonts w:ascii="Times New Roman" w:hAnsi="Times New Roman" w:cs="Times New Roman"/>
          <w:sz w:val="24"/>
          <w:szCs w:val="24"/>
        </w:rPr>
      </w:pPr>
    </w:p>
    <w:p w14:paraId="3CD4CDD3" w14:textId="77777777" w:rsidR="00EC78FA" w:rsidRDefault="00EC78FA" w:rsidP="00EC78FA">
      <w:pPr>
        <w:spacing w:after="0" w:line="480" w:lineRule="auto"/>
        <w:rPr>
          <w:rFonts w:ascii="Times New Roman" w:hAnsi="Times New Roman" w:cs="Times New Roman"/>
          <w:sz w:val="24"/>
          <w:szCs w:val="24"/>
        </w:rPr>
      </w:pPr>
    </w:p>
    <w:p w14:paraId="6465CD60" w14:textId="77777777" w:rsidR="00EC78FA" w:rsidRDefault="00EC78FA" w:rsidP="00EC78FA">
      <w:pPr>
        <w:spacing w:after="0" w:line="480" w:lineRule="auto"/>
        <w:rPr>
          <w:rFonts w:ascii="Times New Roman" w:hAnsi="Times New Roman" w:cs="Times New Roman"/>
          <w:sz w:val="24"/>
          <w:szCs w:val="24"/>
        </w:rPr>
      </w:pPr>
    </w:p>
    <w:p w14:paraId="726F0EC8" w14:textId="77777777" w:rsidR="00EC78FA" w:rsidRDefault="00EC78FA" w:rsidP="00EC78FA">
      <w:pPr>
        <w:spacing w:after="0" w:line="480" w:lineRule="auto"/>
        <w:rPr>
          <w:rFonts w:ascii="Times New Roman" w:hAnsi="Times New Roman" w:cs="Times New Roman"/>
          <w:sz w:val="24"/>
          <w:szCs w:val="24"/>
        </w:rPr>
      </w:pPr>
    </w:p>
    <w:p w14:paraId="220DEC16" w14:textId="77777777" w:rsidR="00EC78FA" w:rsidRDefault="00EC78FA" w:rsidP="00EC78FA">
      <w:pPr>
        <w:spacing w:after="0" w:line="480" w:lineRule="auto"/>
        <w:rPr>
          <w:rFonts w:ascii="Times New Roman" w:hAnsi="Times New Roman" w:cs="Times New Roman"/>
          <w:sz w:val="24"/>
          <w:szCs w:val="24"/>
        </w:rPr>
      </w:pPr>
    </w:p>
    <w:p w14:paraId="6AB8BC52" w14:textId="77777777" w:rsidR="00EC78FA" w:rsidRDefault="00EC78FA" w:rsidP="00EC78FA">
      <w:pPr>
        <w:spacing w:after="0" w:line="480" w:lineRule="auto"/>
        <w:rPr>
          <w:rFonts w:ascii="Times New Roman" w:hAnsi="Times New Roman" w:cs="Times New Roman"/>
          <w:sz w:val="24"/>
          <w:szCs w:val="24"/>
        </w:rPr>
      </w:pPr>
    </w:p>
    <w:p w14:paraId="18917333" w14:textId="77777777" w:rsidR="00EC78FA" w:rsidRDefault="00EC78FA" w:rsidP="00EC78FA">
      <w:pPr>
        <w:spacing w:after="0" w:line="480" w:lineRule="auto"/>
        <w:rPr>
          <w:rFonts w:ascii="Times New Roman" w:hAnsi="Times New Roman" w:cs="Times New Roman"/>
          <w:sz w:val="24"/>
          <w:szCs w:val="24"/>
        </w:rPr>
      </w:pPr>
    </w:p>
    <w:p w14:paraId="47C2A27D" w14:textId="55EDA2F5" w:rsidR="00EC78FA" w:rsidRPr="00EC78FA" w:rsidRDefault="00EC78FA" w:rsidP="00EC78FA">
      <w:pPr>
        <w:spacing w:after="0" w:line="480" w:lineRule="auto"/>
        <w:jc w:val="center"/>
        <w:rPr>
          <w:rFonts w:ascii="Times New Roman" w:hAnsi="Times New Roman" w:cs="Times New Roman"/>
          <w:sz w:val="24"/>
          <w:szCs w:val="24"/>
        </w:rPr>
      </w:pPr>
      <w:r w:rsidRPr="00EC78FA">
        <w:rPr>
          <w:rFonts w:ascii="Times New Roman" w:hAnsi="Times New Roman" w:cs="Times New Roman"/>
          <w:sz w:val="24"/>
          <w:szCs w:val="24"/>
        </w:rPr>
        <w:lastRenderedPageBreak/>
        <w:t>References</w:t>
      </w:r>
    </w:p>
    <w:p w14:paraId="5B56D7EA" w14:textId="77777777" w:rsidR="00EC78FA" w:rsidRPr="00EC78FA" w:rsidRDefault="00EC78FA" w:rsidP="00EC78FA">
      <w:pPr>
        <w:spacing w:after="0" w:line="480" w:lineRule="auto"/>
        <w:ind w:left="720" w:hanging="720"/>
        <w:rPr>
          <w:rFonts w:ascii="Times New Roman" w:hAnsi="Times New Roman" w:cs="Times New Roman"/>
          <w:color w:val="222222"/>
          <w:sz w:val="24"/>
          <w:szCs w:val="24"/>
          <w:shd w:val="clear" w:color="auto" w:fill="FFFFFF"/>
        </w:rPr>
      </w:pPr>
      <w:r w:rsidRPr="00EC78FA">
        <w:rPr>
          <w:rFonts w:ascii="Times New Roman" w:hAnsi="Times New Roman" w:cs="Times New Roman"/>
          <w:color w:val="222222"/>
          <w:sz w:val="24"/>
          <w:szCs w:val="24"/>
          <w:shd w:val="clear" w:color="auto" w:fill="FFFFFF"/>
        </w:rPr>
        <w:t>Grumbach, K., &amp; Bodenheimer, T. (2009). </w:t>
      </w:r>
      <w:r w:rsidRPr="00EC78FA">
        <w:rPr>
          <w:rFonts w:ascii="Times New Roman" w:hAnsi="Times New Roman" w:cs="Times New Roman"/>
          <w:i/>
          <w:iCs/>
          <w:color w:val="222222"/>
          <w:sz w:val="24"/>
          <w:szCs w:val="24"/>
          <w:shd w:val="clear" w:color="auto" w:fill="FFFFFF"/>
        </w:rPr>
        <w:t>Understanding health policy: A clinical approach</w:t>
      </w:r>
      <w:r w:rsidRPr="00EC78FA">
        <w:rPr>
          <w:rFonts w:ascii="Times New Roman" w:hAnsi="Times New Roman" w:cs="Times New Roman"/>
          <w:color w:val="222222"/>
          <w:sz w:val="24"/>
          <w:szCs w:val="24"/>
          <w:shd w:val="clear" w:color="auto" w:fill="FFFFFF"/>
        </w:rPr>
        <w:t>. McGraw-Hill Companies, Incorporated.</w:t>
      </w:r>
    </w:p>
    <w:p w14:paraId="2DA60A7E" w14:textId="77777777" w:rsidR="00EC78FA" w:rsidRPr="00EC78FA" w:rsidRDefault="00EC78FA" w:rsidP="00EC78FA">
      <w:pPr>
        <w:spacing w:after="0" w:line="480" w:lineRule="auto"/>
        <w:ind w:left="720" w:hanging="720"/>
        <w:rPr>
          <w:rFonts w:ascii="Times New Roman" w:hAnsi="Times New Roman" w:cs="Times New Roman"/>
          <w:sz w:val="24"/>
          <w:szCs w:val="24"/>
        </w:rPr>
      </w:pPr>
      <w:r w:rsidRPr="00EC78FA">
        <w:rPr>
          <w:rFonts w:ascii="Times New Roman" w:hAnsi="Times New Roman" w:cs="Times New Roman"/>
          <w:color w:val="222222"/>
          <w:sz w:val="24"/>
          <w:szCs w:val="24"/>
          <w:shd w:val="clear" w:color="auto" w:fill="FFFFFF"/>
        </w:rPr>
        <w:t xml:space="preserve">Shreck, R. I. (2020, March). “Overview of Health Care Financing.” </w:t>
      </w:r>
      <w:r w:rsidRPr="00EC78FA">
        <w:rPr>
          <w:rFonts w:ascii="Times New Roman" w:hAnsi="Times New Roman" w:cs="Times New Roman"/>
          <w:i/>
          <w:iCs/>
          <w:color w:val="222222"/>
          <w:sz w:val="24"/>
          <w:szCs w:val="24"/>
          <w:shd w:val="clear" w:color="auto" w:fill="FFFFFF"/>
        </w:rPr>
        <w:t>MSD Manual Consumer version</w:t>
      </w:r>
      <w:r w:rsidRPr="00EC78FA">
        <w:rPr>
          <w:rFonts w:ascii="Times New Roman" w:hAnsi="Times New Roman" w:cs="Times New Roman"/>
          <w:color w:val="222222"/>
          <w:sz w:val="24"/>
          <w:szCs w:val="24"/>
          <w:shd w:val="clear" w:color="auto" w:fill="FFFFFF"/>
        </w:rPr>
        <w:t>. https://www.msdmanuals.com/home/fundamentals/financial-issues-in-health-care/overview-of-health-care-financing</w:t>
      </w:r>
    </w:p>
    <w:p w14:paraId="1B88C433" w14:textId="77777777" w:rsidR="00EC78FA" w:rsidRPr="00EC78FA" w:rsidRDefault="00EC78FA" w:rsidP="00EC78FA">
      <w:pPr>
        <w:spacing w:after="0" w:line="480" w:lineRule="auto"/>
        <w:ind w:firstLine="720"/>
        <w:rPr>
          <w:rFonts w:ascii="Times New Roman" w:hAnsi="Times New Roman" w:cs="Times New Roman"/>
          <w:sz w:val="24"/>
          <w:szCs w:val="24"/>
        </w:rPr>
      </w:pPr>
    </w:p>
    <w:sectPr w:rsidR="00EC78FA" w:rsidRPr="00EC78F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10E90C" w14:textId="77777777" w:rsidR="00061BEC" w:rsidRDefault="00061BEC" w:rsidP="00EC78FA">
      <w:pPr>
        <w:spacing w:after="0" w:line="240" w:lineRule="auto"/>
      </w:pPr>
      <w:r>
        <w:separator/>
      </w:r>
    </w:p>
  </w:endnote>
  <w:endnote w:type="continuationSeparator" w:id="0">
    <w:p w14:paraId="3D6876F4" w14:textId="77777777" w:rsidR="00061BEC" w:rsidRDefault="00061BEC" w:rsidP="00EC7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D435FB" w14:textId="77777777" w:rsidR="00061BEC" w:rsidRDefault="00061BEC" w:rsidP="00EC78FA">
      <w:pPr>
        <w:spacing w:after="0" w:line="240" w:lineRule="auto"/>
      </w:pPr>
      <w:r>
        <w:separator/>
      </w:r>
    </w:p>
  </w:footnote>
  <w:footnote w:type="continuationSeparator" w:id="0">
    <w:p w14:paraId="16BF8DD7" w14:textId="77777777" w:rsidR="00061BEC" w:rsidRDefault="00061BEC" w:rsidP="00EC78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A5B7D" w14:textId="1509A12B" w:rsidR="00EC78FA" w:rsidRPr="00EC78FA" w:rsidRDefault="00EC78FA" w:rsidP="00EC78FA">
    <w:pPr>
      <w:pStyle w:val="Header"/>
      <w:jc w:val="right"/>
      <w:rPr>
        <w:rFonts w:ascii="Times New Roman" w:hAnsi="Times New Roman" w:cs="Times New Roman"/>
        <w:sz w:val="24"/>
        <w:szCs w:val="24"/>
      </w:rPr>
    </w:pPr>
    <w:r w:rsidRPr="00EC78FA">
      <w:rPr>
        <w:rFonts w:ascii="Times New Roman" w:hAnsi="Times New Roman" w:cs="Times New Roman"/>
        <w:sz w:val="24"/>
        <w:szCs w:val="24"/>
      </w:rPr>
      <w:fldChar w:fldCharType="begin"/>
    </w:r>
    <w:r w:rsidRPr="00EC78FA">
      <w:rPr>
        <w:rFonts w:ascii="Times New Roman" w:hAnsi="Times New Roman" w:cs="Times New Roman"/>
        <w:sz w:val="24"/>
        <w:szCs w:val="24"/>
      </w:rPr>
      <w:instrText xml:space="preserve"> PAGE   \* MERGEFORMAT </w:instrText>
    </w:r>
    <w:r w:rsidRPr="00EC78FA">
      <w:rPr>
        <w:rFonts w:ascii="Times New Roman" w:hAnsi="Times New Roman" w:cs="Times New Roman"/>
        <w:sz w:val="24"/>
        <w:szCs w:val="24"/>
      </w:rPr>
      <w:fldChar w:fldCharType="separate"/>
    </w:r>
    <w:r w:rsidR="00622FB6">
      <w:rPr>
        <w:rFonts w:ascii="Times New Roman" w:hAnsi="Times New Roman" w:cs="Times New Roman"/>
        <w:noProof/>
        <w:sz w:val="24"/>
        <w:szCs w:val="24"/>
      </w:rPr>
      <w:t>2</w:t>
    </w:r>
    <w:r w:rsidRPr="00EC78F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2B4"/>
    <w:rsid w:val="00061BEC"/>
    <w:rsid w:val="000D2BEA"/>
    <w:rsid w:val="001544CE"/>
    <w:rsid w:val="002925C9"/>
    <w:rsid w:val="005B4689"/>
    <w:rsid w:val="00622FB6"/>
    <w:rsid w:val="00873B4A"/>
    <w:rsid w:val="0088007B"/>
    <w:rsid w:val="009962B4"/>
    <w:rsid w:val="00A1728D"/>
    <w:rsid w:val="00AD6FA9"/>
    <w:rsid w:val="00B03300"/>
    <w:rsid w:val="00EC78FA"/>
    <w:rsid w:val="00ED6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EC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8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8FA"/>
  </w:style>
  <w:style w:type="paragraph" w:styleId="Footer">
    <w:name w:val="footer"/>
    <w:basedOn w:val="Normal"/>
    <w:link w:val="FooterChar"/>
    <w:uiPriority w:val="99"/>
    <w:unhideWhenUsed/>
    <w:rsid w:val="00EC78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8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8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8FA"/>
  </w:style>
  <w:style w:type="paragraph" w:styleId="Footer">
    <w:name w:val="footer"/>
    <w:basedOn w:val="Normal"/>
    <w:link w:val="FooterChar"/>
    <w:uiPriority w:val="99"/>
    <w:unhideWhenUsed/>
    <w:rsid w:val="00EC78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2021-09-27T08:55:00Z</dcterms:created>
  <dcterms:modified xsi:type="dcterms:W3CDTF">2021-09-27T08:55:00Z</dcterms:modified>
</cp:coreProperties>
</file>